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Verksamhetsrapport  KKGK’s  herrkommitté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Herrkommittén har arrangerat Torsdagsgolfen, en tävling över säsongen som är öppen för alla herrar över 18 år. Tävlingsformen är slaggolf VSOP.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 år har vi haft 22 deltävlingar med start 14/4, sista omgången spelades 15/9.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Dom 18 bäst placerade i grundomgången samt 3 wildcard som samlade in mest poäng de sista 5 deltävlingarna deltog i finalen lördagen 24/9. Den startade 10.00 med en brunch, första bollen gick ut 11.30. Avslutningsmiddag samt prisutdelning på kvällen vid 18-tiden.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Lite statistik: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2016 var det 118 personer som deltog, 2015 var det 87.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2016 var det totalt 790 starter, 2015 var det 580. En ökning med 210 starter, riktigt bra.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2016 var det 36 personer i snitt/omgång, 2015 var det 32 personer.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2016 hade vi 31500: - till priser i form av presentkort, 2015 var det 22200: -. Dessa var fördelade på veckopriser, grundomgången samt finaldagen. SGK var med och sponsrade 20 %, ett stort tack för detta!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 grundomgången var det 3 herrar som dominerade: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1:a plats</w:t>
        <w:tab/>
        <w:t xml:space="preserve">Peter Svanström</w:t>
        <w:tab/>
        <w:t xml:space="preserve">558 poäng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2:a plats</w:t>
        <w:tab/>
        <w:t xml:space="preserve">Claes Adeskog</w:t>
        <w:tab/>
        <w:t xml:space="preserve">545 poäng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3:e plats</w:t>
        <w:tab/>
        <w:t xml:space="preserve">Nicklas Svensson</w:t>
        <w:tab/>
        <w:t xml:space="preserve">514 poäng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På finaldagen var det riktig bra resultat, hela 7 spelare gick på eller bättre sitt hcp.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1:a plats</w:t>
        <w:tab/>
        <w:t xml:space="preserve">Jan Byhlin</w:t>
        <w:tab/>
        <w:tab/>
        <w:t xml:space="preserve">68 slag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2:a plats</w:t>
        <w:tab/>
        <w:t xml:space="preserve">Thomas Eriksson</w:t>
        <w:tab/>
        <w:t xml:space="preserve">70 slag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3:a plats</w:t>
        <w:tab/>
        <w:t xml:space="preserve">Bo Hoffman</w:t>
        <w:tab/>
        <w:tab/>
        <w:t xml:space="preserve">70 slag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Värt att notera är att Finaldagsmästaren, Jan Byhlin, var ett av de 3 wildcarden.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Herrkommittén i form av Håkan Thorman och Thomas Jansson tackar härmed för detta år.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Erland Eliasson sponsrar tordagsgolfen med en ölprovning för de som kommer i mitten av resultatslistan i varje omgång.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