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vertAlign w:val="baseline"/>
          <w:rtl w:val="0"/>
        </w:rPr>
        <w:t xml:space="preserve">Göteborg 2016-09-12</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Rapport nr 7 final D50+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8"/>
          <w:szCs w:val="28"/>
          <w:vertAlign w:val="baseline"/>
          <w:rtl w:val="0"/>
        </w:rPr>
        <w:t xml:space="preserve">Till lagansvariga och kansli i deltagande klubbar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8"/>
          <w:szCs w:val="28"/>
          <w:vertAlign w:val="baseline"/>
          <w:rtl w:val="0"/>
        </w:rPr>
        <w:t xml:space="preserve">HCP-serierna D50+ ”klubbar emellan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Final 14:e årgången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En fantastisk sensommardag på Lysegårdens GK och på denna vacker bana blev finalen så spännande som en final skall vara. Stort tack till Lysegården som ställde upp med banar och rutinerad tävlingsledning: Klubbchef Fredrick Rubensson och Roger Lundberg från seniorerna.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Tack även restaurangen för utsökt mat och trevligt bemötande. De fick stort erkännade av våra damer.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8"/>
          <w:szCs w:val="28"/>
          <w:vertAlign w:val="baseline"/>
          <w:rtl w:val="0"/>
        </w:rPr>
        <w:t xml:space="preserve">Torslanda GK ”Dammästare” i HCP-serierna 2016.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Damerna visade sig vara taggade för uppgiften och det blev en rafflande avslutning mellan två lag med tre slag mellan lagen. Längsta strået drog Torslanda GK på 233 slag före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Partille GK 236, Ale GK 239,Torrekulla GK 243, Öijared GK 246 och Stora Lundby GK 257.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Bifogar Resultatredovisningsblankett.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Grattis Torslanda GK.  Segrande laget bestod av följande spelare: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Yvonne Heisselberg, Bibbi Båth, Ulla Carlsson samt Anette Dahlman.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Liina Svanlund från Ale GK var bäst både brutto och netto på 90/72 och då går nettopriset till tvåan Gunilla Behmer från Stora Lundby på 75 slag.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vertAlign w:val="baseline"/>
          <w:rtl w:val="0"/>
        </w:rPr>
        <w:t xml:space="preserve">Vi gratulerar samtliga spelare i ”Final 2016” och laddar nu om för nästa år.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vertAlign w:val="baseline"/>
          <w:rtl w:val="0"/>
        </w:rPr>
        <w:t xml:space="preserve">Tävlingsledningen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vertAlign w:val="baseline"/>
          <w:rtl w:val="0"/>
        </w:rPr>
        <w:t xml:space="preserve">Jan Lund sekreterare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32"/>
          <w:szCs w:val="32"/>
          <w:vertAlign w:val="baseline"/>
          <w:rtl w:val="0"/>
        </w:rPr>
        <w:t xml:space="preserve">Vinnare D50+       Vinnare H55+             Arrangörer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2003 Lysegården             Gullbringa/Stora Lundby        Lerjedalen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2004 Sjögärde                  Lerjedalen                             Stora Lundby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2005 Lysegården              Sisjö                                      Partille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2006 Gullbringa                Torslanda                               Lysegården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2007 Gullbringa                 Särö                                      Ale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2008 Ingetorp                    Lysegårdenp                         Lerjedalen/Sjögärde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2009 Mölndal                     Lysegården                          Gräppås/Stora Lundby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2010 Kungsbacka             Chalmers                              Torslanda/Öijared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2011 Öijared GK                Mölndal                                 Chalmers/Torslanda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2012 Torslanda GK            S:t Jörgen PGC                    Sjögärde/Stenungsund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2013  Lysegårdens GK      S:t Jörgen PGC                    Lerjedalens GK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2014 Stenungsund GK       Gräppås GK                         Mölndal/Ale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2015 Öijareds GK                Partille GK                           Chalmers/Stora Lundby GK</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2016 Partille                                                                     Lysegården/Stora Lundby GK</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2015  Öijareds GK              Partille GK                            Chalmers </w:t>
      </w:r>
      <w:r w:rsidDel="00000000" w:rsidR="00000000" w:rsidRPr="00000000">
        <w:rPr>
          <w:rtl w:val="0"/>
        </w:rPr>
      </w:r>
    </w:p>
    <w:sectPr>
      <w:pgSz w:h="16838" w:w="11906"/>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